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843"/>
        <w:gridCol w:w="1276"/>
        <w:gridCol w:w="283"/>
        <w:gridCol w:w="2058"/>
        <w:gridCol w:w="1421"/>
        <w:gridCol w:w="1019"/>
        <w:gridCol w:w="2732"/>
        <w:gridCol w:w="248"/>
      </w:tblGrid>
      <w:tr w:rsidR="00ED3250" w:rsidRPr="00ED3250" w:rsidTr="00ED3250">
        <w:trPr>
          <w:trHeight w:val="255"/>
        </w:trPr>
        <w:tc>
          <w:tcPr>
            <w:tcW w:w="1843"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Level</w:t>
            </w:r>
          </w:p>
        </w:tc>
        <w:tc>
          <w:tcPr>
            <w:tcW w:w="1276"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3479"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Provinsi Papua Barat</w:t>
            </w:r>
          </w:p>
        </w:tc>
        <w:tc>
          <w:tcPr>
            <w:tcW w:w="1019"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2732"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255"/>
        </w:trPr>
        <w:tc>
          <w:tcPr>
            <w:tcW w:w="3119"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3479"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Implementasi Kinerja</w:t>
            </w:r>
          </w:p>
        </w:tc>
        <w:tc>
          <w:tcPr>
            <w:tcW w:w="1019"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2732"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255"/>
        </w:trPr>
        <w:tc>
          <w:tcPr>
            <w:tcW w:w="1843"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76"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2058"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421"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019"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2732"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255"/>
        </w:trPr>
        <w:tc>
          <w:tcPr>
            <w:tcW w:w="3402" w:type="dxa"/>
            <w:gridSpan w:val="3"/>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Isu dalam PGA REDD+</w:t>
            </w:r>
          </w:p>
        </w:tc>
        <w:tc>
          <w:tcPr>
            <w:tcW w:w="7230" w:type="dxa"/>
            <w:gridSpan w:val="4"/>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3119"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a. Tingkat penerimaan (legitimasi) atas dokumen RTRWP/RTRWK/Kehutanan</w:t>
            </w:r>
          </w:p>
        </w:tc>
      </w:tr>
      <w:tr w:rsidR="00ED3250" w:rsidRPr="00ED3250" w:rsidTr="00ED3250">
        <w:trPr>
          <w:trHeight w:val="300"/>
        </w:trPr>
        <w:tc>
          <w:tcPr>
            <w:tcW w:w="3119"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tcBorders>
              <w:top w:val="nil"/>
              <w:left w:val="nil"/>
              <w:bottom w:val="single" w:sz="4" w:space="0" w:color="auto"/>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714"/>
        <w:gridCol w:w="1447"/>
        <w:gridCol w:w="1881"/>
        <w:gridCol w:w="1070"/>
        <w:gridCol w:w="1556"/>
        <w:gridCol w:w="1231"/>
        <w:gridCol w:w="1604"/>
        <w:gridCol w:w="1382"/>
      </w:tblGrid>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229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FIa1</w:t>
            </w:r>
          </w:p>
        </w:tc>
        <w:tc>
          <w:tcPr>
            <w:tcW w:w="1447" w:type="dxa"/>
            <w:vMerge w:val="restart"/>
            <w:tcBorders>
              <w:top w:val="nil"/>
              <w:left w:val="single" w:sz="4" w:space="0" w:color="auto"/>
              <w:bottom w:val="single" w:sz="4" w:space="0" w:color="000000"/>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Bagaimana (tingkat) penerimaan (legitimasi) </w:t>
            </w:r>
            <w:r w:rsidRPr="00ED3250">
              <w:rPr>
                <w:rFonts w:ascii="Times New Roman" w:eastAsia="Times New Roman" w:hAnsi="Times New Roman" w:cs="Times New Roman"/>
                <w:i/>
                <w:iCs/>
                <w:color w:val="000000"/>
                <w:sz w:val="20"/>
                <w:szCs w:val="20"/>
                <w:lang w:eastAsia="id-ID"/>
              </w:rPr>
              <w:t xml:space="preserve">stakeholder </w:t>
            </w:r>
            <w:r w:rsidRPr="00ED3250">
              <w:rPr>
                <w:rFonts w:ascii="Times New Roman" w:eastAsia="Times New Roman" w:hAnsi="Times New Roman" w:cs="Times New Roman"/>
                <w:color w:val="000000"/>
                <w:sz w:val="20"/>
                <w:szCs w:val="20"/>
                <w:lang w:eastAsia="id-ID"/>
              </w:rPr>
              <w:t>atas dokumen RTRWP/RTRWK/Kehutanan?</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Tingkat penerimaan stakeholder atas dokumen RTRW/RTRWK/Kehutanan sedang, karena seringkali yang seharusnya sudah sampai tingkat kementrian di tingkat bupati sering ada  perubahan, sehingga harus diulangi lagi. Sebagian besar belum diterima oleh semua stakeholder</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3</w:t>
            </w:r>
          </w:p>
        </w:tc>
      </w:tr>
      <w:tr w:rsidR="00ED3250" w:rsidRPr="00ED3250" w:rsidTr="00ED3250">
        <w:trPr>
          <w:trHeight w:val="229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PU</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Tingkat penerimaan stakeholder atas dokumen RTRWP/RTRWK/Kehutanan sangat baik. Stakeholder sangat menerima tapi harus ada aturan yang segera dibuat oleh pemerintah untuk menjamin pelaksanaan rencana RTRW berdasar UU no 26 tentang tata ruang 2007</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5</w:t>
            </w:r>
          </w:p>
        </w:tc>
      </w:tr>
      <w:tr w:rsidR="00ED3250" w:rsidRPr="00ED3250" w:rsidTr="00ED3250">
        <w:trPr>
          <w:trHeight w:val="153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LSM</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Konsultasi publik tidak memenuhi standar. Mekanismenya diam-diam. Partisipasinya tidak memenuhi keyakanan sehinggan </w:t>
            </w:r>
            <w:r w:rsidRPr="00ED3250">
              <w:rPr>
                <w:rFonts w:ascii="Times New Roman" w:eastAsia="Times New Roman" w:hAnsi="Times New Roman" w:cs="Times New Roman"/>
                <w:color w:val="000000"/>
                <w:sz w:val="20"/>
                <w:szCs w:val="20"/>
                <w:lang w:eastAsia="id-ID"/>
              </w:rPr>
              <w:lastRenderedPageBreak/>
              <w:t>legitimasi dokumen tata ruang rendah. Tapi tidak ada yang peduli</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lastRenderedPageBreak/>
              <w:t>1</w:t>
            </w:r>
          </w:p>
        </w:tc>
      </w:tr>
      <w:tr w:rsidR="00ED3250" w:rsidRPr="00ED3250" w:rsidTr="00ED3250">
        <w:trPr>
          <w:trHeight w:val="127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Organisasi Masyarakat Adat Lokal</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LMA belum pernah dilibatkan dalam pembuatan dokumen RTRWP/RTRWK/ Kehutanan sehingga tidak tahu tingkat penerimaan stakeholder</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51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000000" w:fill="F2DDDC"/>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Asosiasi Pengusaha</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000000" w:fill="F2DDDC"/>
            <w:hideMark/>
          </w:tcPr>
          <w:p w:rsidR="00ED3250" w:rsidRPr="00ED3250" w:rsidRDefault="00ED3250" w:rsidP="00ED3250">
            <w:pPr>
              <w:spacing w:after="0" w:line="240" w:lineRule="auto"/>
              <w:rPr>
                <w:rFonts w:ascii="Times New Roman" w:eastAsia="Times New Roman" w:hAnsi="Times New Roman" w:cs="Times New Roman"/>
                <w:color w:val="FF0000"/>
                <w:sz w:val="20"/>
                <w:szCs w:val="20"/>
                <w:lang w:eastAsia="id-ID"/>
              </w:rPr>
            </w:pPr>
            <w:r w:rsidRPr="00ED3250">
              <w:rPr>
                <w:rFonts w:ascii="Times New Roman" w:eastAsia="Times New Roman" w:hAnsi="Times New Roman" w:cs="Times New Roman"/>
                <w:color w:val="FF0000"/>
                <w:sz w:val="20"/>
                <w:szCs w:val="20"/>
                <w:lang w:eastAsia="id-ID"/>
              </w:rPr>
              <w:t> </w:t>
            </w:r>
          </w:p>
        </w:tc>
        <w:tc>
          <w:tcPr>
            <w:tcW w:w="1382" w:type="dxa"/>
            <w:tcBorders>
              <w:top w:val="nil"/>
              <w:left w:val="nil"/>
              <w:bottom w:val="single" w:sz="4" w:space="0" w:color="auto"/>
              <w:right w:val="single" w:sz="4" w:space="0" w:color="auto"/>
            </w:tcBorders>
            <w:shd w:val="clear" w:color="000000" w:fill="F2DDDC"/>
            <w:noWrap/>
            <w:hideMark/>
          </w:tcPr>
          <w:p w:rsidR="00ED3250" w:rsidRPr="00ED3250" w:rsidRDefault="00ED3250" w:rsidP="00ED3250">
            <w:pPr>
              <w:spacing w:after="0" w:line="240" w:lineRule="auto"/>
              <w:jc w:val="center"/>
              <w:rPr>
                <w:rFonts w:ascii="Times New Roman" w:eastAsia="Times New Roman" w:hAnsi="Times New Roman" w:cs="Times New Roman"/>
                <w:color w:val="FF0000"/>
                <w:sz w:val="20"/>
                <w:szCs w:val="20"/>
                <w:lang w:eastAsia="id-ID"/>
              </w:rPr>
            </w:pPr>
            <w:r w:rsidRPr="00ED3250">
              <w:rPr>
                <w:rFonts w:ascii="Times New Roman" w:eastAsia="Times New Roman" w:hAnsi="Times New Roman" w:cs="Times New Roman"/>
                <w:color w:val="FF0000"/>
                <w:sz w:val="20"/>
                <w:szCs w:val="20"/>
                <w:lang w:eastAsia="id-ID"/>
              </w:rPr>
              <w:t> </w:t>
            </w:r>
          </w:p>
        </w:tc>
      </w:tr>
      <w:tr w:rsidR="00ED3250" w:rsidRPr="00ED3250" w:rsidTr="00ED3250">
        <w:trPr>
          <w:trHeight w:val="255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Akademisi</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Berada pada tingkat sedang, melalui konsultasi publik dan sosialisasi. Hanya saja RTRWP yang sekarang belum final sehingga belum tau </w:t>
            </w:r>
            <w:r w:rsidRPr="00ED3250">
              <w:rPr>
                <w:rFonts w:ascii="Times New Roman" w:eastAsia="Times New Roman" w:hAnsi="Times New Roman" w:cs="Times New Roman"/>
                <w:i/>
                <w:iCs/>
                <w:color w:val="000000"/>
                <w:sz w:val="20"/>
                <w:szCs w:val="20"/>
                <w:lang w:eastAsia="id-ID"/>
              </w:rPr>
              <w:t>stakeholder</w:t>
            </w:r>
            <w:r w:rsidRPr="00ED3250">
              <w:rPr>
                <w:rFonts w:ascii="Times New Roman" w:eastAsia="Times New Roman" w:hAnsi="Times New Roman" w:cs="Times New Roman"/>
                <w:color w:val="000000"/>
                <w:sz w:val="20"/>
                <w:szCs w:val="20"/>
                <w:lang w:eastAsia="id-ID"/>
              </w:rPr>
              <w:t xml:space="preserve"> menerima dokumen atau tidak. Stakeholder biasanya menerima dokumen RTRWP, hanya saja komitmen pelaksanaan yang sering rendah karena yang terjadi di lapangan berbeda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3</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Wawancara – Sumber informasi</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469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lastRenderedPageBreak/>
              <w:t>FIb1</w:t>
            </w:r>
          </w:p>
        </w:tc>
        <w:tc>
          <w:tcPr>
            <w:tcW w:w="1447" w:type="dxa"/>
            <w:vMerge w:val="restart"/>
            <w:tcBorders>
              <w:top w:val="nil"/>
              <w:left w:val="single" w:sz="4" w:space="0" w:color="auto"/>
              <w:bottom w:val="single" w:sz="4" w:space="0" w:color="000000"/>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Jumlah luas kawasan hutan yang dikukuhkan dan dite-rima oleh para pihak</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Bagaimana penerimaan para pihak terhadap jumlah luas kawasan hutan yang telah dikukuhkan?</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Dalam dokumen perkembangan pengukuhan kawasan hutan papua Barat hanya terdapat informasi tentang Luas, keberadaan dokumen BATB dan Peta, keberadaan SK penetapannya, serta permasalahan dan solusinya. Namun dalam kolom permasalahan dan solusi untuk kawasan yang sdh ditetapkan pengukuhannya melalui SK Menhut rata-rata masalahnya adalah tidak adanya BATB dan peta. Sedangkan yang belum ditetapkan pengukuhannya ada beberapa yang masih perlu dilakukan tata batas temu gelang</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75% sudah menerima jumlah kawasan hutan yang telah dikukuhkan. Tapi  akhir-akhir  ini ada masalah karena pada saat awal belum ada persetujuan masyarakat. Misalnya pada HPH yangd itetapkan dari pusat dan tidak melibatkan masyarakat</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4</w:t>
            </w:r>
          </w:p>
        </w:tc>
      </w:tr>
      <w:tr w:rsidR="00ED3250" w:rsidRPr="00ED3250" w:rsidTr="00ED3250">
        <w:trPr>
          <w:trHeight w:val="178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LSM</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Pengukuhan kawasan hutan tidak memenuhi prosedur yang bagus. Dinas Kehutanan tidak ikut aprosedur juga  tidak melibatkan para pihak, sehingga tidak bisa dilihat penerimaannya. Peta tidak dipublish</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76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Organisasi Masyarakat Adat Lokal</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Jumlah luas kawasan hutan yang dikukukan dan diterima oleh para pihak masih dalam proses</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357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Akademisi</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rendah. Secara normatif tidak ada masalah, tapi di lapangan sering bermasalah. Dari awal tidak melibatkan pemilik-pemilik hak ulayat. Dokumen diterima, tapi di lapangan tidak terlaksana. Misalnya : Hutan di Gunung Meja atau di di kawasan lindung lain. Dengan desentralisasi, banyak pemekaran berada dalam areal cagar alam.  Di pegunungan Arfak Manokwari Selatan juga demikian, akan ditetapkan pemekaran, tapi masih dalam status cagar alam</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2</w:t>
            </w:r>
          </w:p>
        </w:tc>
      </w:tr>
      <w:tr w:rsidR="00ED3250" w:rsidRPr="00ED3250" w:rsidTr="00ED3250">
        <w:trPr>
          <w:trHeight w:val="229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UPT BKPH</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Dokumen yang tersedia hanya Berita Acara Tata batas Kawasan Hutan Lindung Pulau GAM  di Distrik Waigeo Selatan Meos Mansar Kabupaten raja Ampat Papua Batay dengan luas kawasan 16.430.45 Ha dan Panjang Batas 160.018.45 M</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2</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Sangat baik, karena semua menerima luas kawasan yang diatur perlokasi/kelompok hutan yang dikukuhkan. Apabila ada wilayah yang tidak layak jadi hutan, misalnya karena sudah jadi pemukiman, maka tidak dikelola. Oleh karena itu semua pihak menerima hanya 6% yang bukan kawasan hutan</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2</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645"/>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Wawancara – Sumber informasi</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w:t>
            </w:r>
            <w:r w:rsidRPr="00ED3250">
              <w:rPr>
                <w:rFonts w:ascii="Times New Roman" w:eastAsia="Times New Roman" w:hAnsi="Times New Roman" w:cs="Times New Roman"/>
                <w:b/>
                <w:bCs/>
                <w:color w:val="000000"/>
                <w:sz w:val="20"/>
                <w:szCs w:val="20"/>
                <w:lang w:eastAsia="id-ID"/>
              </w:rPr>
              <w:lastRenderedPageBreak/>
              <w:t xml:space="preserve">Masyarakat Adat/Lokal, LSM terkait, Akademisi)  </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lastRenderedPageBreak/>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268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FIc1</w:t>
            </w:r>
          </w:p>
        </w:tc>
        <w:tc>
          <w:tcPr>
            <w:tcW w:w="1447" w:type="dxa"/>
            <w:vMerge w:val="restart"/>
            <w:tcBorders>
              <w:top w:val="nil"/>
              <w:left w:val="single" w:sz="4" w:space="0" w:color="auto"/>
              <w:bottom w:val="single" w:sz="4" w:space="0" w:color="000000"/>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dokumen tidak diberikan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Memadai, terealisasi 75 persen, Tata ruang kelola masyarakat adat/lokal sebagian besar sudah terakomodir dalam tata-ruang propinsi karena tata ruang propinsi diatur berdasar info  bupati dan bupati dari masyarakat. Pemekaran wilayah sering memunculkan masalah karena masyarakat tidak mau bergeser, terutama di kawasan konservasi</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4</w:t>
            </w:r>
          </w:p>
        </w:tc>
      </w:tr>
      <w:tr w:rsidR="00ED3250" w:rsidRPr="00ED3250" w:rsidTr="00ED3250">
        <w:trPr>
          <w:trHeight w:val="280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LSM</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Dalam Tata Ruang Propinsi tidak ada satu poin pun yang bicara tentang wilayah ulayat masyarakat. Pola dokumen tata ruang sangat makro, hanya mencakup hutan budidaya dan hutan lindung, dan tiak jelas peruntukkannya bagi masyarakat. Misalnya, PERDU sedang memperjuangkan hutan desa di Kaimana, dan setidaknya masuk dalam RTRWP kabupaten</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300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UPT BKPH</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Dokumen berupa CD gambar peta usulan perubahan fungsi hutan, dari peta tersebut dapat dilihat letak kampung dan hutan serta usulan perubahan fungsinya. Rata-rata kampung berada di wilayah hutan produksi yang dapat dikonservasi dan tidak masuk dalam usulan perubahan fungsi hutan yang diusulkan dalam RTRW</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4</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Sudah memadai (terealisasi 75%)  karena pada dasarnya tata ruang propinsi tidak bisa menolak cara tinggal merambah masyarakat lokal. Sementara 94% kawasan masih hutan. Tapi memang ada potensi bila misalnya kawasan hutan lindung digunakan untuk tambang,  </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4</w:t>
            </w:r>
          </w:p>
        </w:tc>
      </w:tr>
      <w:tr w:rsidR="00ED3250" w:rsidRPr="00ED3250" w:rsidTr="00ED3250">
        <w:trPr>
          <w:trHeight w:val="204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Organisasi Masyarakat Adat Lokal</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Jumlah tata ruang kelola masyarakat adat/lokal yang terakomodir dalam tata ruang propinsi atau kabupaten tidak memadai. Pemerintah tidak melibatkan masyarakat. Setidaknya sosialisasi pengelolaan hutan. Lebih cenderung pada HPH  sehingga lebih sepihak tata ruangnya</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127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Akademisi</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cukup memadai, namun di tingkat kabupaten harus lebih detail. Misalnya di Raja Ampat, Wasior, Teluk Wondama, diserahkan sepenuhnya kepada masyarakat.</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3</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Wawancara – Sumber informasi</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w:t>
            </w:r>
            <w:r w:rsidRPr="00ED3250">
              <w:rPr>
                <w:rFonts w:ascii="Times New Roman" w:eastAsia="Times New Roman" w:hAnsi="Times New Roman" w:cs="Times New Roman"/>
                <w:b/>
                <w:bCs/>
                <w:color w:val="000000"/>
                <w:sz w:val="20"/>
                <w:szCs w:val="20"/>
                <w:lang w:eastAsia="id-ID"/>
              </w:rPr>
              <w:lastRenderedPageBreak/>
              <w:t xml:space="preserve">Kehutanan, Kepala UPT BPKH, Organisasi Masyarakat Adat/Lokal, LSM terkait, Akademisi), Kabupaten: (Kepala Dinas Kehutanan, Organisasi Masyarakat Adat/Lokal, LSM terkait, Akademisi)  </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lastRenderedPageBreak/>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2550"/>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ED3250" w:rsidRPr="00ED3250" w:rsidRDefault="00ED3250" w:rsidP="00ED3250">
            <w:pPr>
              <w:spacing w:after="0" w:line="240" w:lineRule="auto"/>
              <w:jc w:val="center"/>
              <w:rPr>
                <w:rFonts w:ascii="Times New Roman" w:eastAsia="Times New Roman" w:hAnsi="Times New Roman" w:cs="Times New Roman"/>
                <w:color w:val="FFFF00"/>
                <w:sz w:val="20"/>
                <w:szCs w:val="20"/>
                <w:lang w:eastAsia="id-ID"/>
              </w:rPr>
            </w:pPr>
            <w:r w:rsidRPr="00ED3250">
              <w:rPr>
                <w:rFonts w:ascii="Times New Roman" w:eastAsia="Times New Roman" w:hAnsi="Times New Roman" w:cs="Times New Roman"/>
                <w:color w:val="FFFF00"/>
                <w:sz w:val="20"/>
                <w:szCs w:val="20"/>
                <w:lang w:eastAsia="id-ID"/>
              </w:rPr>
              <w:t> </w:t>
            </w:r>
          </w:p>
        </w:tc>
        <w:tc>
          <w:tcPr>
            <w:tcW w:w="1447" w:type="dxa"/>
            <w:vMerge w:val="restart"/>
            <w:tcBorders>
              <w:top w:val="nil"/>
              <w:left w:val="single" w:sz="4" w:space="0" w:color="auto"/>
              <w:bottom w:val="single" w:sz="4" w:space="0" w:color="000000"/>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Jumlah konflik penguasaan kawasan yang dapat difasilitasi penyelesaiannya dalam setiap tahun</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Apakah jumlah konflik penguasaan kawasan yang dapat difasilitasi penyelesaiannya dalam setiap tahun sudah memadai?</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Jumlah konflik penguasaan kawasan yang dapat difasilitasi penyelesaiannya dalam setiap tahun kurang memadai, karena :</w:t>
            </w:r>
            <w:r w:rsidRPr="00ED3250">
              <w:rPr>
                <w:rFonts w:ascii="Times New Roman" w:eastAsia="Times New Roman" w:hAnsi="Times New Roman" w:cs="Times New Roman"/>
                <w:color w:val="000000"/>
                <w:sz w:val="20"/>
                <w:szCs w:val="20"/>
                <w:lang w:eastAsia="id-ID"/>
              </w:rPr>
              <w:br/>
              <w:t>- Komunikasi kurang</w:t>
            </w:r>
            <w:r w:rsidRPr="00ED3250">
              <w:rPr>
                <w:rFonts w:ascii="Times New Roman" w:eastAsia="Times New Roman" w:hAnsi="Times New Roman" w:cs="Times New Roman"/>
                <w:color w:val="000000"/>
                <w:sz w:val="20"/>
                <w:szCs w:val="20"/>
                <w:lang w:eastAsia="id-ID"/>
              </w:rPr>
              <w:br/>
              <w:t>- Dananya kurang</w:t>
            </w:r>
            <w:r w:rsidRPr="00ED3250">
              <w:rPr>
                <w:rFonts w:ascii="Times New Roman" w:eastAsia="Times New Roman" w:hAnsi="Times New Roman" w:cs="Times New Roman"/>
                <w:color w:val="000000"/>
                <w:sz w:val="20"/>
                <w:szCs w:val="20"/>
                <w:lang w:eastAsia="id-ID"/>
              </w:rPr>
              <w:br/>
              <w:t>Dalam pemanfaatan masih relatif diterima, namun untuk penggunaan kawasan masih banyak konflik</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2</w:t>
            </w:r>
          </w:p>
        </w:tc>
      </w:tr>
      <w:tr w:rsidR="00ED3250" w:rsidRPr="00ED3250" w:rsidTr="00ED3250">
        <w:trPr>
          <w:trHeight w:val="127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FFFF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LSM</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memadai, karena biasanya fasilitasi baru dilakukan ketika kondisi sudah kritis. Tidak ada upaya penyelesaian konflik ysng terencana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306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FFFF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UPT BKPH</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Jumlah konflik penguasaan kawasan yang dapat difasilitasi  penyelesaiannya relatif memadai. Belum ada konflik terbuka, tapi rata-rata kampung diarahkan mengenai status ruangnya. Masyarakat  juga memahaminya sebagai proses penataan. Biasanya bila ada pemekaran kampung oleh pemerintah daerah, masyarakat menanyakan batas wilayah mereka dan </w:t>
            </w:r>
            <w:r w:rsidRPr="00ED3250">
              <w:rPr>
                <w:rFonts w:ascii="Times New Roman" w:eastAsia="Times New Roman" w:hAnsi="Times New Roman" w:cs="Times New Roman"/>
                <w:color w:val="000000"/>
                <w:sz w:val="20"/>
                <w:szCs w:val="20"/>
                <w:lang w:eastAsia="id-ID"/>
              </w:rPr>
              <w:lastRenderedPageBreak/>
              <w:t>diarahkan status ruangnya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lastRenderedPageBreak/>
              <w:t>4</w:t>
            </w:r>
          </w:p>
        </w:tc>
      </w:tr>
      <w:tr w:rsidR="00ED3250" w:rsidRPr="00ED3250" w:rsidTr="00ED3250">
        <w:trPr>
          <w:trHeight w:val="153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FFFF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Organisasi Masyarakat Adat Lokal</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Jumlah konflik penguasaan kawasan yang dapat difasilitasi penyelesaiannya tidak memadai. Contoh : Tapal batas Tamrau dan Manokawari belum difasilitasi dengan baik setelah 2 tahun</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153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FFFF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Akademisi</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Kurang memadai. Banyak kasus yang terkatung-katung. Secara adat bisa diselesaikan, namun secara hukum berlarut-larut. Misalnya dalam sengketa lahan illegal logging vs pemilik hak ulayat</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2</w:t>
            </w:r>
          </w:p>
        </w:tc>
      </w:tr>
      <w:tr w:rsidR="00ED3250" w:rsidRPr="00ED3250" w:rsidTr="00ED3250">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FId1</w:t>
            </w:r>
          </w:p>
        </w:tc>
        <w:tc>
          <w:tcPr>
            <w:tcW w:w="1447" w:type="dxa"/>
            <w:vMerge w:val="restart"/>
            <w:tcBorders>
              <w:top w:val="nil"/>
              <w:left w:val="single" w:sz="4" w:space="0" w:color="auto"/>
              <w:bottom w:val="single" w:sz="4" w:space="0" w:color="000000"/>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Hasil mediasi bisa diterima oleh semua pihak dan dijalankan secara konsisten</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Hasil mediasi bisa diterima oleh semua pihak. Contohnya di Raja Ampat dan Sorong Selatan terkait perijinan, perkebunan dan tambang</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4</w:t>
            </w:r>
          </w:p>
        </w:tc>
      </w:tr>
      <w:tr w:rsidR="00ED3250" w:rsidRPr="00ED3250" w:rsidTr="00ED3250">
        <w:trPr>
          <w:trHeight w:val="229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LSM</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tidak semua  bisa diterima oleh semua pihak. Misalnya di daserah transmigrasi, di Prafi, dimana masyarakat adat dan warga transmigran berkonflik soal lahan, mediasi </w:t>
            </w:r>
            <w:r w:rsidRPr="00ED3250">
              <w:rPr>
                <w:rFonts w:ascii="Times New Roman" w:eastAsia="Times New Roman" w:hAnsi="Times New Roman" w:cs="Times New Roman"/>
                <w:color w:val="000000"/>
                <w:sz w:val="20"/>
                <w:szCs w:val="20"/>
                <w:lang w:eastAsia="id-ID"/>
              </w:rPr>
              <w:lastRenderedPageBreak/>
              <w:t>konfliknya bisa diterima semua pihak. Tapi untuk konflik yang lebih besar, kasusnya tidak pernah selesai</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lastRenderedPageBreak/>
              <w:t>2</w:t>
            </w:r>
          </w:p>
        </w:tc>
      </w:tr>
      <w:tr w:rsidR="00ED3250" w:rsidRPr="00ED3250" w:rsidTr="00ED3250">
        <w:trPr>
          <w:trHeight w:val="102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UPT BKPH</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Hasil mediasi sangat diterima oleh masyarakat, sehingga masyarakat tidak terganggu oleh tata ruang propinsi</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5</w:t>
            </w:r>
          </w:p>
        </w:tc>
      </w:tr>
      <w:tr w:rsidR="00ED3250" w:rsidRPr="00ED3250" w:rsidTr="00ED3250">
        <w:trPr>
          <w:trHeight w:val="76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Organisasi Masyarakat Adat Lokal</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Hasil mediasi bisa diterima semua pihak dan dijalankan konsisten</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5</w:t>
            </w:r>
          </w:p>
        </w:tc>
      </w:tr>
      <w:tr w:rsidR="00ED3250" w:rsidRPr="00ED3250" w:rsidTr="00ED3250">
        <w:trPr>
          <w:trHeight w:val="433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Akademisi</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Hasil mediasi kurang dapat diterima oleh semua pihak dan dijalankan secara konsisten. Karena apabila secara adat atau hukum selesai sebetulnya bisa konsisten. Tapi yang sering terjadi tidak demikian. Misalnya di kota ada pelanggaran hak ulayat dan denda kriminal atau gugatan kepemilikan atas tanah secara hukum. Biasanya pemda menyelesaikannya secara adat saja. Lokasi kampus juga sering digugat, tapi penyelesaiannya hanya kompensasi informal untuk tutup mulut. Ini tidak memiliki status hukum karena tidak ada kesepakatan hitam di atas putih</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2</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255"/>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Isu dalam PGA REDD+</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2626"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II. Pengaturan Hak  </w:t>
            </w:r>
          </w:p>
        </w:tc>
        <w:tc>
          <w:tcPr>
            <w:tcW w:w="123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1604"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p>
        </w:tc>
      </w:tr>
      <w:tr w:rsidR="00ED3250" w:rsidRPr="00ED3250" w:rsidTr="00ED3250">
        <w:trPr>
          <w:trHeight w:val="6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ED3250">
              <w:rPr>
                <w:rFonts w:ascii="Times New Roman" w:eastAsia="Times New Roman" w:hAnsi="Times New Roman" w:cs="Times New Roman"/>
                <w:b/>
                <w:bCs/>
                <w:color w:val="000000"/>
                <w:sz w:val="20"/>
                <w:szCs w:val="20"/>
                <w:lang w:eastAsia="id-ID"/>
              </w:rPr>
              <w:br/>
              <w:t xml:space="preserve">   masyarakat dan bisnis di Kementerian/SKPD </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 Kementerian/Dinas Kehutanan (Unit Pemberi Izin)</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FIIa1</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881"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6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ED3250">
              <w:rPr>
                <w:rFonts w:ascii="Times New Roman" w:eastAsia="Times New Roman" w:hAnsi="Times New Roman" w:cs="Times New Roman"/>
                <w:b/>
                <w:bCs/>
                <w:color w:val="000000"/>
                <w:sz w:val="20"/>
                <w:szCs w:val="20"/>
                <w:lang w:eastAsia="id-ID"/>
              </w:rPr>
              <w:br/>
              <w:t xml:space="preserve">   masyarakat dan bisnis di Kementerian/SKPD </w:t>
            </w:r>
            <w:r w:rsidRPr="00ED3250">
              <w:rPr>
                <w:rFonts w:ascii="Times New Roman" w:eastAsia="Times New Roman" w:hAnsi="Times New Roman" w:cs="Times New Roman"/>
                <w:b/>
                <w:bCs/>
                <w:color w:val="000000"/>
                <w:sz w:val="20"/>
                <w:szCs w:val="20"/>
                <w:lang w:eastAsia="id-ID"/>
              </w:rPr>
              <w:br/>
              <w:t xml:space="preserve"> </w:t>
            </w:r>
          </w:p>
        </w:tc>
      </w:tr>
      <w:tr w:rsidR="00ED3250" w:rsidRPr="00ED3250" w:rsidTr="00ED3250">
        <w:trPr>
          <w:trHeight w:val="6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ED3250">
              <w:rPr>
                <w:rFonts w:ascii="Times New Roman" w:eastAsia="Times New Roman" w:hAnsi="Times New Roman" w:cs="Times New Roman"/>
                <w:b/>
                <w:bCs/>
                <w:color w:val="000000"/>
                <w:sz w:val="20"/>
                <w:szCs w:val="20"/>
                <w:lang w:eastAsia="id-ID"/>
              </w:rPr>
              <w:br/>
              <w:t xml:space="preserve">  Kementerian/Dinas Kehutanan (Unit Pemberi Izin)</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FIIb1</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881"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dapat dilihat dalam dokumen RTRW</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3</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45"/>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c. Jumlah konflik antar sesama penggunaan kawasan hutan </w:t>
            </w:r>
            <w:r w:rsidRPr="00ED3250">
              <w:rPr>
                <w:rFonts w:ascii="Times New Roman" w:eastAsia="Times New Roman" w:hAnsi="Times New Roman" w:cs="Times New Roman"/>
                <w:b/>
                <w:bCs/>
                <w:color w:val="000000"/>
                <w:sz w:val="20"/>
                <w:szCs w:val="20"/>
                <w:lang w:eastAsia="id-ID"/>
              </w:rPr>
              <w:br/>
              <w:t xml:space="preserve"> </w:t>
            </w:r>
          </w:p>
        </w:tc>
      </w:tr>
      <w:tr w:rsidR="00ED3250" w:rsidRPr="00ED3250" w:rsidTr="00ED3250">
        <w:trPr>
          <w:trHeight w:val="645"/>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25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FIIc1</w:t>
            </w:r>
          </w:p>
        </w:tc>
        <w:tc>
          <w:tcPr>
            <w:tcW w:w="1447" w:type="dxa"/>
            <w:vMerge w:val="restart"/>
            <w:tcBorders>
              <w:top w:val="nil"/>
              <w:left w:val="single" w:sz="4" w:space="0" w:color="auto"/>
              <w:bottom w:val="single" w:sz="4" w:space="0" w:color="000000"/>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Jumlah konflik antar sesama penggunaan kawasan hutan </w:t>
            </w:r>
          </w:p>
        </w:tc>
        <w:tc>
          <w:tcPr>
            <w:tcW w:w="1881" w:type="dxa"/>
            <w:vMerge w:val="restart"/>
            <w:tcBorders>
              <w:top w:val="nil"/>
              <w:left w:val="single" w:sz="4" w:space="0" w:color="auto"/>
              <w:bottom w:val="single" w:sz="4" w:space="0" w:color="000000"/>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w:t>
            </w:r>
          </w:p>
        </w:tc>
      </w:tr>
      <w:tr w:rsidR="00ED3250" w:rsidRPr="00ED3250" w:rsidTr="00ED3250">
        <w:trPr>
          <w:trHeight w:val="1035"/>
        </w:trPr>
        <w:tc>
          <w:tcPr>
            <w:tcW w:w="714"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LSM</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lastRenderedPageBreak/>
              <w:t>Wawancara - Sumber informasi</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 Pemerintah (Pusat &amp; Daerah), LSM, AMAN</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1785"/>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447" w:type="dxa"/>
            <w:vMerge w:val="restart"/>
            <w:tcBorders>
              <w:top w:val="nil"/>
              <w:left w:val="single" w:sz="4" w:space="0" w:color="auto"/>
              <w:bottom w:val="single" w:sz="4" w:space="0" w:color="000000"/>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Jumlah praktik terbaik (</w:t>
            </w:r>
            <w:r w:rsidRPr="00ED3250">
              <w:rPr>
                <w:rFonts w:ascii="Times New Roman" w:eastAsia="Times New Roman" w:hAnsi="Times New Roman" w:cs="Times New Roman"/>
                <w:i/>
                <w:iCs/>
                <w:color w:val="000000"/>
                <w:sz w:val="20"/>
                <w:szCs w:val="20"/>
                <w:lang w:eastAsia="id-ID"/>
              </w:rPr>
              <w:t>best practices</w:t>
            </w:r>
            <w:r w:rsidRPr="00ED3250">
              <w:rPr>
                <w:rFonts w:ascii="Times New Roman" w:eastAsia="Times New Roman" w:hAnsi="Times New Roman" w:cs="Times New Roman"/>
                <w:color w:val="000000"/>
                <w:sz w:val="20"/>
                <w:szCs w:val="20"/>
                <w:lang w:eastAsia="id-ID"/>
              </w:rPr>
              <w:t>) atas resolusi konflik terkait pengakuan hak masyarakat adat/lokal</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nil"/>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Jumlah praktik terbaik atas resolusi konflik terkait pengakuan hak masyarakat adat/lokal ada, jumlahnya cukup memadai. Melalui rapat koordinasi cukup efektif, atau melalui ceremoni Gelar Tikar Adat dan Para-Para Adat</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3</w:t>
            </w:r>
          </w:p>
        </w:tc>
      </w:tr>
      <w:tr w:rsidR="00ED3250" w:rsidRPr="00ED3250" w:rsidTr="00ED3250">
        <w:trPr>
          <w:trHeight w:val="229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LSM</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Jumlah Praktek terbaik (best practices) atas resolusi konflik terkait pengakuan hak masyarakatadat/lokal sangat buruk karena penyelesaian konflik sangat tergantung pada kompensasi yang diberikan pada para pihak, dan tidak bisa dikatakan sebagai best practices</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229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Organisasi Masyarakat Adat Lokal</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Jumlah praktik terbaik  atas resolusi konflik  terkait pengakuan hak masyarakat adat/lokal  ada dan memadai. Penyelesaian adat yang difasilitasi pemerintah banyak yang berhasil. Contoh L Di perbatasan Fak-Fak dan Kaimana, konflik antara masyarakat dan HPH Hanoraka dan Arfak indah </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4</w:t>
            </w:r>
          </w:p>
        </w:tc>
      </w:tr>
      <w:tr w:rsidR="00ED3250" w:rsidRPr="00ED3250" w:rsidTr="00ED3250">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lastRenderedPageBreak/>
              <w:t>FIId1</w:t>
            </w:r>
          </w:p>
        </w:tc>
        <w:tc>
          <w:tcPr>
            <w:tcW w:w="1447" w:type="dxa"/>
            <w:vMerge w:val="restart"/>
            <w:tcBorders>
              <w:top w:val="nil"/>
              <w:left w:val="single" w:sz="4" w:space="0" w:color="auto"/>
              <w:bottom w:val="single" w:sz="4" w:space="0" w:color="000000"/>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Pencegahan kekerasan</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Resolusi konflik terkait pengakuan hak masyarakat adat/lokal yang mencakup pencegahan kekerasan memadai. Harus ditempuh di lokus konflik. Penyelesaian biasanya melibatkan tripika dan bisa diterima serta komit dijalankan</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4</w:t>
            </w:r>
          </w:p>
        </w:tc>
      </w:tr>
      <w:tr w:rsidR="00ED3250" w:rsidRPr="00ED3250" w:rsidTr="00ED3250">
        <w:trPr>
          <w:trHeight w:val="204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LSM</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Field Note : Karena informan menganggap bahwa resolusi konflik tergantung pada jumlah kompensasi yang diberikan pada para pihak, maka upaya pencegahan kekerasan juga melalui resolusi konflik seperti ini dianggap tidak bisa dikatakan sebagai best practice</w:t>
            </w:r>
          </w:p>
        </w:tc>
        <w:tc>
          <w:tcPr>
            <w:tcW w:w="1382"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1</w:t>
            </w:r>
          </w:p>
        </w:tc>
      </w:tr>
      <w:tr w:rsidR="00ED3250" w:rsidRPr="00ED3250" w:rsidTr="00ED3250">
        <w:trPr>
          <w:trHeight w:val="178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Organisasi Masyarakat Adat Lokal</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Resolusi konflik terkait pengakuan masyarakat adat/lokal sudah cukup memadai mencakup pencegahan kekerasan. Tapi masyarakat belum diberi informasi yang jelas tentang hal ulayatnya yang seharusnya dilakukan oleh biro pemerintahan</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3</w:t>
            </w:r>
          </w:p>
        </w:tc>
      </w:tr>
      <w:tr w:rsidR="00ED3250" w:rsidRPr="00ED3250" w:rsidTr="00ED3250">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FIId2</w:t>
            </w:r>
          </w:p>
        </w:tc>
        <w:tc>
          <w:tcPr>
            <w:tcW w:w="1447" w:type="dxa"/>
            <w:vMerge w:val="restart"/>
            <w:tcBorders>
              <w:top w:val="nil"/>
              <w:left w:val="single" w:sz="4" w:space="0" w:color="auto"/>
              <w:bottom w:val="single" w:sz="4" w:space="0" w:color="000000"/>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Penyelesaian konflik</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Resolusi konflik terkait pengakuan hak masyarakat adat/lokal yang mencakup pencegahan kekerasan </w:t>
            </w:r>
            <w:r w:rsidRPr="00ED3250">
              <w:rPr>
                <w:rFonts w:ascii="Times New Roman" w:eastAsia="Times New Roman" w:hAnsi="Times New Roman" w:cs="Times New Roman"/>
                <w:color w:val="000000"/>
                <w:sz w:val="20"/>
                <w:szCs w:val="20"/>
                <w:lang w:eastAsia="id-ID"/>
              </w:rPr>
              <w:lastRenderedPageBreak/>
              <w:t>memadai. Harus ditempuh di lokus konflik. Penyelesaian biasanya melibatkan tripika dan bisa diterima serta komit dijalankan</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lastRenderedPageBreak/>
              <w:t>4</w:t>
            </w:r>
          </w:p>
        </w:tc>
      </w:tr>
      <w:tr w:rsidR="00ED3250" w:rsidRPr="00ED3250" w:rsidTr="00ED3250">
        <w:trPr>
          <w:trHeight w:val="102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LSM</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Resolusi konflik terkait pengakuan masyarakat adat/lokal sudah cukup memadai mencakup penyelesaian konflik cukuo memadai</w:t>
            </w:r>
          </w:p>
        </w:tc>
        <w:tc>
          <w:tcPr>
            <w:tcW w:w="1382"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3</w:t>
            </w:r>
          </w:p>
        </w:tc>
      </w:tr>
      <w:tr w:rsidR="00ED3250" w:rsidRPr="00ED3250" w:rsidTr="00ED3250">
        <w:trPr>
          <w:trHeight w:val="102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Organisasi Masyarakat Adat Lokal</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Resolusi konflik terkait pengakuan gak masyarakt adat/lokal cukup memadai mencakup penyelesaian konflik</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3</w:t>
            </w:r>
          </w:p>
        </w:tc>
      </w:tr>
      <w:tr w:rsidR="00ED3250" w:rsidRPr="00ED3250" w:rsidTr="00ED3250">
        <w:trPr>
          <w:trHeight w:val="102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FIId3</w:t>
            </w:r>
          </w:p>
        </w:tc>
        <w:tc>
          <w:tcPr>
            <w:tcW w:w="1447" w:type="dxa"/>
            <w:vMerge w:val="restart"/>
            <w:tcBorders>
              <w:top w:val="nil"/>
              <w:left w:val="single" w:sz="4" w:space="0" w:color="auto"/>
              <w:bottom w:val="single" w:sz="4" w:space="0" w:color="000000"/>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Penerimaan para pihak</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Apakah resolusi konflik terkait pengakuan hak masy adat/lokal sudah mencakup penerimaan para pihak?</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Resolusi konflik terkait pengakuan hak masyarakat adat/lokal sudah mencakup penerimaan para pihak, dan para pihak menerima</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4</w:t>
            </w:r>
          </w:p>
        </w:tc>
      </w:tr>
      <w:tr w:rsidR="00ED3250" w:rsidRPr="00ED3250" w:rsidTr="00ED3250">
        <w:trPr>
          <w:trHeight w:val="127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LSM</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Field Note : Untuk alasan yang sama. Maka penerimaan para pihak melalui resolusi konflik seperti ini juga tidak bisa dianggap sebagai best practices</w:t>
            </w:r>
          </w:p>
        </w:tc>
        <w:tc>
          <w:tcPr>
            <w:tcW w:w="1382"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1</w:t>
            </w:r>
          </w:p>
        </w:tc>
      </w:tr>
      <w:tr w:rsidR="00ED3250" w:rsidRPr="00ED3250" w:rsidTr="00ED3250">
        <w:trPr>
          <w:trHeight w:val="76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Organisasi Masyarakat Adat Lokal</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Resolusi konflik terkait pengakuan hak masyarakat adat/lokal cukup memadai</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3</w:t>
            </w:r>
          </w:p>
        </w:tc>
      </w:tr>
      <w:tr w:rsidR="00ED3250" w:rsidRPr="00ED3250" w:rsidTr="00ED3250">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FIId4</w:t>
            </w:r>
          </w:p>
        </w:tc>
        <w:tc>
          <w:tcPr>
            <w:tcW w:w="1447" w:type="dxa"/>
            <w:vMerge w:val="restart"/>
            <w:tcBorders>
              <w:top w:val="nil"/>
              <w:left w:val="single" w:sz="4" w:space="0" w:color="auto"/>
              <w:bottom w:val="single" w:sz="4" w:space="0" w:color="000000"/>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Komitmen tetap dijalankan</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Resolusi konflik terkait pengakuan hak masyarakat adat/lokal memadai karena komitmen dijalankan</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4</w:t>
            </w:r>
          </w:p>
        </w:tc>
      </w:tr>
      <w:tr w:rsidR="00ED3250" w:rsidRPr="00ED3250" w:rsidTr="00ED3250">
        <w:trPr>
          <w:trHeight w:val="102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LSM</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Komitmen yang ada terkait dengan resolusi konflik cukup memadai selama kompensasi yang diberikan memadai`</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3</w:t>
            </w:r>
          </w:p>
        </w:tc>
      </w:tr>
      <w:tr w:rsidR="00ED3250" w:rsidRPr="00ED3250" w:rsidTr="00ED3250">
        <w:trPr>
          <w:trHeight w:val="76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Organisasi Masyarakat Adat Lokal</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Komitmen dalam resolusi koflik dijalankan dan memadai</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4</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ED3250" w:rsidRPr="00ED3250" w:rsidTr="00ED3250">
        <w:trPr>
          <w:trHeight w:val="255"/>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 Media cetak</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FIIe1</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Jurnalis</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dokumentasi</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Jumlah/frekuensi dan kualitas oemberitaan terkait pengakuan hak masyarakat adat/lokal jumlahnya memadai dan meningkat</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4</w:t>
            </w:r>
          </w:p>
        </w:tc>
      </w:tr>
      <w:tr w:rsidR="00ED3250" w:rsidRPr="00ED3250" w:rsidTr="00ED3250">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FIIe2</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Cakupan berita  mengenai pengakuan pejabat atas hak masyarakat adat</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Jurnalis</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dokumentasi</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Cakupan berita mengenai pengakuan pejabat atas hak masyarakat adat  cukup memadai. Cahaya memiliki 4 daerah kerja yaitu Manokwari, Teluk wondana, Teluk Bintuni, dan Kaimana. Dan ada 30% porsi yang diambil dari luar. </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2</w:t>
            </w:r>
          </w:p>
        </w:tc>
      </w:tr>
      <w:tr w:rsidR="00ED3250" w:rsidRPr="00ED3250" w:rsidTr="00ED3250">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FIIe3</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Posisi berita dalam media cetak </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Apakah Posisi berita dalam media cetak sudah memadai?</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Jurnalis</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dokumentasi</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Posisi berita kurang memadai walaupun sudah kritis</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2</w:t>
            </w:r>
          </w:p>
        </w:tc>
      </w:tr>
      <w:tr w:rsidR="00ED3250" w:rsidRPr="00ED3250" w:rsidTr="00ED3250">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FIIe4</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Posisi media dalam pemberitaan </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Apakah Posisi media dalam pemberitaan sudah memadai?</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Jurnalis</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dokumentasi</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Ada beberapa isu yang dapat respon dari pemerintah dan  malah didengar dan jadi rujukan. Dalam banyak kasus opini pemerintah terbentuk karena opini media</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4</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255"/>
        </w:trPr>
        <w:tc>
          <w:tcPr>
            <w:tcW w:w="4042" w:type="dxa"/>
            <w:gridSpan w:val="3"/>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lastRenderedPageBreak/>
              <w:t>Isu dalam PGA REDD+</w:t>
            </w:r>
          </w:p>
        </w:tc>
        <w:tc>
          <w:tcPr>
            <w:tcW w:w="5461" w:type="dxa"/>
            <w:gridSpan w:val="4"/>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Wawancara – Sumber informasi</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Pengusaha, Organisasi Masyarakat Adat, LSM</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211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FIIIa1</w:t>
            </w:r>
          </w:p>
        </w:tc>
        <w:tc>
          <w:tcPr>
            <w:tcW w:w="1447" w:type="dxa"/>
            <w:vMerge w:val="restart"/>
            <w:tcBorders>
              <w:top w:val="nil"/>
              <w:left w:val="single" w:sz="4" w:space="0" w:color="auto"/>
              <w:bottom w:val="single" w:sz="4" w:space="0" w:color="000000"/>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 xml:space="preserve">Jumlah biaya transaksi pengurusan izin pengelolaan hutan </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Jumlah biaya transaksi pengurusan izin pengelolaan hutan</w:t>
            </w: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LSM</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Jumlah biaya transaksi pengurusan izin pengelolaan hutan sangat tidak sesuaio dengan aturan. Berdasarkan pertemuan dengan Dinas Kehutanan, ada indikasi biaya sangat tinggi, ada banyak biasa siluman. Ada beberapa perusahaan yang mengadu adanya biaya tambahan yang menghambat</w:t>
            </w:r>
          </w:p>
        </w:tc>
        <w:tc>
          <w:tcPr>
            <w:tcW w:w="1382"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255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Organisasi Masyarakat Adat Lokal</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Jumlah biaya transaksi pengurusan izin pengelolaan hutan sangat tidak sesuai dengan aturan. Lebih banyak yang lewat belakang meja, tidak tahu persis jumlah biaya transaksinya juga luas wilayahya.  Contohnya : HPH untuk ijin produksi. Areal yang diminta 100 Ha tapi kerja bisa sampai 500 Ha di Kaimana,Fak-Fak, Bintuni,dll</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69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ED3250">
              <w:rPr>
                <w:rFonts w:ascii="Times New Roman" w:eastAsia="Times New Roman" w:hAnsi="Times New Roman" w:cs="Times New Roman"/>
                <w:b/>
                <w:bCs/>
                <w:color w:val="000000"/>
                <w:sz w:val="20"/>
                <w:szCs w:val="20"/>
                <w:lang w:eastAsia="id-ID"/>
              </w:rPr>
              <w:br/>
              <w:t xml:space="preserve">  pemegang ijin</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Peraturan Prosedur Pelaksanaan Pengurusan Izin</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3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lastRenderedPageBreak/>
              <w:t>FIIIb1</w:t>
            </w:r>
          </w:p>
        </w:tc>
        <w:tc>
          <w:tcPr>
            <w:tcW w:w="1447" w:type="dxa"/>
            <w:vMerge w:val="restart"/>
            <w:tcBorders>
              <w:top w:val="nil"/>
              <w:left w:val="single" w:sz="4" w:space="0" w:color="auto"/>
              <w:bottom w:val="single" w:sz="4" w:space="0" w:color="000000"/>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 xml:space="preserve">Jumlah tahapan dan bentuk persyaratan setiap tahapan dalam pengurusan izin </w:t>
            </w:r>
          </w:p>
        </w:tc>
        <w:tc>
          <w:tcPr>
            <w:tcW w:w="1881" w:type="dxa"/>
            <w:vMerge w:val="restart"/>
            <w:tcBorders>
              <w:top w:val="nil"/>
              <w:left w:val="single" w:sz="4" w:space="0" w:color="auto"/>
              <w:bottom w:val="single" w:sz="4" w:space="0" w:color="000000"/>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945"/>
        </w:trPr>
        <w:tc>
          <w:tcPr>
            <w:tcW w:w="714"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Dinas Pertanian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bersedia memberikan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510"/>
        </w:trPr>
        <w:tc>
          <w:tcPr>
            <w:tcW w:w="714"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BPN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bersedia memberikan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p>
        </w:tc>
        <w:tc>
          <w:tcPr>
            <w:tcW w:w="1447"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255"/>
        </w:trPr>
        <w:tc>
          <w:tcPr>
            <w:tcW w:w="4042" w:type="dxa"/>
            <w:gridSpan w:val="3"/>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Isu dalam PGA REDD+</w:t>
            </w:r>
          </w:p>
        </w:tc>
        <w:tc>
          <w:tcPr>
            <w:tcW w:w="5461" w:type="dxa"/>
            <w:gridSpan w:val="4"/>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63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ED3250">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24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FIVa1</w:t>
            </w:r>
          </w:p>
        </w:tc>
        <w:tc>
          <w:tcPr>
            <w:tcW w:w="1447" w:type="dxa"/>
            <w:vMerge w:val="restart"/>
            <w:tcBorders>
              <w:top w:val="nil"/>
              <w:left w:val="single" w:sz="4" w:space="0" w:color="auto"/>
              <w:bottom w:val="single" w:sz="4" w:space="0" w:color="000000"/>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881" w:type="dxa"/>
            <w:vMerge w:val="restart"/>
            <w:tcBorders>
              <w:top w:val="nil"/>
              <w:left w:val="single" w:sz="4" w:space="0" w:color="auto"/>
              <w:bottom w:val="single" w:sz="4" w:space="0" w:color="000000"/>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510"/>
        </w:trPr>
        <w:tc>
          <w:tcPr>
            <w:tcW w:w="714"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Dinas Pertanian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bersedia memberikan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510"/>
        </w:trPr>
        <w:tc>
          <w:tcPr>
            <w:tcW w:w="714"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BPN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bersedia memberikan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p>
        </w:tc>
        <w:tc>
          <w:tcPr>
            <w:tcW w:w="1447"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4440"/>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lastRenderedPageBreak/>
              <w:t>FIVb1</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SK Gubernur Papua Barat Nomor 552/26/II.2011 taun 2011 tentang Pembentukan panitia Tata Batas Luar Kawasan Hutan Kabupaten/Kota Se Propinsi Papua Barat, Nomor 522/35/II/2011 tahun 2011 tentang pembentuka panitia Tata Batas Fungsi Kawasan Hutan Kabupaten/KMota se Propinsi Papua Barat, Nomor 522/36/II/2011 tahun 2011 tentang Pembentukan Panitia Tata Batas Kawasan Konservasi Peraian Kabupaten/Kota Se Propinsi Papua Barat</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2</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p>
        </w:tc>
        <w:tc>
          <w:tcPr>
            <w:tcW w:w="1447"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c. Persentase hutan yang memiliki pengelola (KPH)</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Kementerian Kehutanan &amp; Dinas Kehutanan (Provinsi &amp; Kabupaten)</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1009"/>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FIVc1</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Persentase hutan yang memiliki pengelola (KPH)</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Hanya Kabupaten Sorong</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2</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p>
        </w:tc>
        <w:tc>
          <w:tcPr>
            <w:tcW w:w="1447"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FIVd1</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 xml:space="preserve">Jumlah pengelolaan hutan berbasis ecological services </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p>
        </w:tc>
        <w:tc>
          <w:tcPr>
            <w:tcW w:w="1447"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255"/>
        </w:trPr>
        <w:tc>
          <w:tcPr>
            <w:tcW w:w="4042" w:type="dxa"/>
            <w:gridSpan w:val="3"/>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lastRenderedPageBreak/>
              <w:t>Isu dalam PGA REDD+</w:t>
            </w:r>
          </w:p>
        </w:tc>
        <w:tc>
          <w:tcPr>
            <w:tcW w:w="5461" w:type="dxa"/>
            <w:gridSpan w:val="4"/>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Laporan Inspektorat, BPKP &amp; BPK, Bawasda</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2940"/>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FVa1</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 xml:space="preserve">Jumlah pelanggaran pengguna-an anggaran di tingkat provinsi dan kab/kota  </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BPK, BPKP, BAWASDA, INSPEKTORAT</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Dalam  Rekapitulasi Tahunan Matriks Pemantauan Tindak Lanjut Rekomendasi Hasil Pemeriksaan BPK RI pada pemerintah Propinsi Papua Barat , terdapat sejumnlah 29.518.738.143 yang belum sesuai dan dalam proses tidan lanjut, dan sebesar 117.360.839.364,28 yang belum ditindak lanjuti. </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2</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p>
        </w:tc>
        <w:tc>
          <w:tcPr>
            <w:tcW w:w="1447"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Kementrian &amp; Dinas Kehutanan</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FVb1</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Jumlah sanksi administratif serius (pencabutan izin, dan denda, yang telah dijatuhkan)</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dokumen tidak diserahkan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p>
        </w:tc>
        <w:tc>
          <w:tcPr>
            <w:tcW w:w="1447"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Kepolisian (Nasional &amp; Daerah)</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FVc1</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 xml:space="preserve">Jumlah kasus pidana kehutanan yang diajukan/diproses oleh polisi </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000000" w:fill="F2DDDC"/>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Polres</w:t>
            </w:r>
          </w:p>
        </w:tc>
        <w:tc>
          <w:tcPr>
            <w:tcW w:w="2787" w:type="dxa"/>
            <w:gridSpan w:val="2"/>
            <w:tcBorders>
              <w:top w:val="single" w:sz="4" w:space="0" w:color="auto"/>
              <w:left w:val="nil"/>
              <w:bottom w:val="single" w:sz="4" w:space="0" w:color="auto"/>
              <w:right w:val="single" w:sz="4" w:space="0" w:color="000000"/>
            </w:tcBorders>
            <w:shd w:val="clear" w:color="000000" w:fill="F2DDDC"/>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p>
        </w:tc>
        <w:tc>
          <w:tcPr>
            <w:tcW w:w="1447"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585"/>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lastRenderedPageBreak/>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ED3250">
              <w:rPr>
                <w:rFonts w:ascii="Times New Roman" w:eastAsia="Times New Roman" w:hAnsi="Times New Roman" w:cs="Times New Roman"/>
                <w:b/>
                <w:bCs/>
                <w:color w:val="000000"/>
                <w:sz w:val="20"/>
                <w:szCs w:val="20"/>
                <w:lang w:eastAsia="id-ID"/>
              </w:rPr>
              <w:br/>
              <w:t xml:space="preserve">  diputuskan oleh MA</w:t>
            </w:r>
            <w:r w:rsidRPr="00ED3250">
              <w:rPr>
                <w:rFonts w:ascii="Times New Roman" w:eastAsia="Times New Roman" w:hAnsi="Times New Roman" w:cs="Times New Roman"/>
                <w:b/>
                <w:bCs/>
                <w:color w:val="000000"/>
                <w:sz w:val="20"/>
                <w:szCs w:val="20"/>
                <w:lang w:eastAsia="id-ID"/>
              </w:rPr>
              <w:br/>
              <w:t xml:space="preserve"> </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Kepolisian (Nasional &amp; Daerah)</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1500"/>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FVd1</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000000" w:fill="F2DDDC"/>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Polres</w:t>
            </w:r>
          </w:p>
        </w:tc>
        <w:tc>
          <w:tcPr>
            <w:tcW w:w="2787" w:type="dxa"/>
            <w:gridSpan w:val="2"/>
            <w:tcBorders>
              <w:top w:val="single" w:sz="4" w:space="0" w:color="auto"/>
              <w:left w:val="nil"/>
              <w:bottom w:val="single" w:sz="4" w:space="0" w:color="auto"/>
              <w:right w:val="single" w:sz="4" w:space="0" w:color="000000"/>
            </w:tcBorders>
            <w:shd w:val="clear" w:color="000000" w:fill="F2DDDC"/>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p>
        </w:tc>
        <w:tc>
          <w:tcPr>
            <w:tcW w:w="1447"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e. Index integritas KPK sektor kehutanan</w:t>
            </w:r>
            <w:r w:rsidRPr="00ED3250">
              <w:rPr>
                <w:rFonts w:ascii="Times New Roman" w:eastAsia="Times New Roman" w:hAnsi="Times New Roman" w:cs="Times New Roman"/>
                <w:b/>
                <w:bCs/>
                <w:color w:val="000000"/>
                <w:sz w:val="20"/>
                <w:szCs w:val="20"/>
                <w:lang w:eastAsia="id-ID"/>
              </w:rPr>
              <w:br/>
              <w:t xml:space="preserve"> </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Hasil Survai KPK tentang Integritas</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FVe1</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Index integritas KPK sektor kehutanan</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000000" w:fill="F2DDDC"/>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KPK &amp; TII</w:t>
            </w:r>
          </w:p>
        </w:tc>
        <w:tc>
          <w:tcPr>
            <w:tcW w:w="2787" w:type="dxa"/>
            <w:gridSpan w:val="2"/>
            <w:tcBorders>
              <w:top w:val="single" w:sz="4" w:space="0" w:color="auto"/>
              <w:left w:val="nil"/>
              <w:bottom w:val="single" w:sz="4" w:space="0" w:color="auto"/>
              <w:right w:val="single" w:sz="4" w:space="0" w:color="000000"/>
            </w:tcBorders>
            <w:shd w:val="clear" w:color="000000" w:fill="F2DDDC"/>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p>
        </w:tc>
        <w:tc>
          <w:tcPr>
            <w:tcW w:w="1447"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f. Index persepsi korupsi di lokasi assesmen (TII)</w:t>
            </w:r>
            <w:r w:rsidRPr="00ED3250">
              <w:rPr>
                <w:rFonts w:ascii="Times New Roman" w:eastAsia="Times New Roman" w:hAnsi="Times New Roman" w:cs="Times New Roman"/>
                <w:b/>
                <w:bCs/>
                <w:color w:val="000000"/>
                <w:sz w:val="20"/>
                <w:szCs w:val="20"/>
                <w:lang w:eastAsia="id-ID"/>
              </w:rPr>
              <w:br/>
            </w:r>
            <w:r w:rsidRPr="00ED3250">
              <w:rPr>
                <w:rFonts w:ascii="Times New Roman" w:eastAsia="Times New Roman" w:hAnsi="Times New Roman" w:cs="Times New Roman"/>
                <w:b/>
                <w:bCs/>
                <w:color w:val="000000"/>
                <w:sz w:val="20"/>
                <w:szCs w:val="20"/>
                <w:lang w:eastAsia="id-ID"/>
              </w:rPr>
              <w:br/>
            </w:r>
            <w:r w:rsidRPr="00ED3250">
              <w:rPr>
                <w:rFonts w:ascii="Times New Roman" w:eastAsia="Times New Roman" w:hAnsi="Times New Roman" w:cs="Times New Roman"/>
                <w:b/>
                <w:bCs/>
                <w:color w:val="000000"/>
                <w:sz w:val="20"/>
                <w:szCs w:val="20"/>
                <w:lang w:eastAsia="id-ID"/>
              </w:rPr>
              <w:br/>
              <w:t xml:space="preserve"> </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Hasil Survai Persepsi Transparansi Internasional Indonesia (TII)</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FVf1</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 xml:space="preserve">Index persepsi korupsi di lokasi assesmen (TII) </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000000" w:fill="F2DDDC"/>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KPK &amp; TII</w:t>
            </w:r>
          </w:p>
        </w:tc>
        <w:tc>
          <w:tcPr>
            <w:tcW w:w="2787" w:type="dxa"/>
            <w:gridSpan w:val="2"/>
            <w:tcBorders>
              <w:top w:val="single" w:sz="4" w:space="0" w:color="auto"/>
              <w:left w:val="nil"/>
              <w:bottom w:val="single" w:sz="4" w:space="0" w:color="auto"/>
              <w:right w:val="single" w:sz="4" w:space="0" w:color="000000"/>
            </w:tcBorders>
            <w:shd w:val="clear" w:color="000000" w:fill="F2DDDC"/>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p>
        </w:tc>
        <w:tc>
          <w:tcPr>
            <w:tcW w:w="1447"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615"/>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ED3250">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ED3250">
              <w:rPr>
                <w:rFonts w:ascii="Times New Roman" w:eastAsia="Times New Roman" w:hAnsi="Times New Roman" w:cs="Times New Roman"/>
                <w:b/>
                <w:bCs/>
                <w:color w:val="000000"/>
                <w:sz w:val="20"/>
                <w:szCs w:val="20"/>
                <w:lang w:eastAsia="id-ID"/>
              </w:rPr>
              <w:br/>
            </w:r>
            <w:r w:rsidRPr="00ED3250">
              <w:rPr>
                <w:rFonts w:ascii="Times New Roman" w:eastAsia="Times New Roman" w:hAnsi="Times New Roman" w:cs="Times New Roman"/>
                <w:b/>
                <w:bCs/>
                <w:color w:val="000000"/>
                <w:sz w:val="20"/>
                <w:szCs w:val="20"/>
                <w:lang w:eastAsia="id-ID"/>
              </w:rPr>
              <w:br/>
            </w:r>
            <w:r w:rsidRPr="00ED3250">
              <w:rPr>
                <w:rFonts w:ascii="Times New Roman" w:eastAsia="Times New Roman" w:hAnsi="Times New Roman" w:cs="Times New Roman"/>
                <w:b/>
                <w:bCs/>
                <w:color w:val="000000"/>
                <w:sz w:val="20"/>
                <w:szCs w:val="20"/>
                <w:lang w:eastAsia="id-ID"/>
              </w:rPr>
              <w:br/>
            </w:r>
            <w:r w:rsidRPr="00ED3250">
              <w:rPr>
                <w:rFonts w:ascii="Times New Roman" w:eastAsia="Times New Roman" w:hAnsi="Times New Roman" w:cs="Times New Roman"/>
                <w:b/>
                <w:bCs/>
                <w:color w:val="000000"/>
                <w:sz w:val="20"/>
                <w:szCs w:val="20"/>
                <w:lang w:eastAsia="id-ID"/>
              </w:rPr>
              <w:br/>
              <w:t xml:space="preserve"> </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Laporan BPK</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lastRenderedPageBreak/>
              <w:t>FVg1</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BPK, BPKP, BAWASDA, INSPEKTORAT</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dokumen tidak diberikan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p>
        </w:tc>
        <w:tc>
          <w:tcPr>
            <w:tcW w:w="1447"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h. Jumlah pengaduan masyarakat tentang kinerja pengelolaan hutan</w:t>
            </w:r>
            <w:r w:rsidRPr="00ED3250">
              <w:rPr>
                <w:rFonts w:ascii="Times New Roman" w:eastAsia="Times New Roman" w:hAnsi="Times New Roman" w:cs="Times New Roman"/>
                <w:b/>
                <w:bCs/>
                <w:color w:val="000000"/>
                <w:sz w:val="20"/>
                <w:szCs w:val="20"/>
                <w:lang w:eastAsia="id-ID"/>
              </w:rPr>
              <w:br/>
            </w:r>
            <w:r w:rsidRPr="00ED3250">
              <w:rPr>
                <w:rFonts w:ascii="Times New Roman" w:eastAsia="Times New Roman" w:hAnsi="Times New Roman" w:cs="Times New Roman"/>
                <w:b/>
                <w:bCs/>
                <w:color w:val="000000"/>
                <w:sz w:val="20"/>
                <w:szCs w:val="20"/>
                <w:lang w:eastAsia="id-ID"/>
              </w:rPr>
              <w:br/>
            </w:r>
            <w:r w:rsidRPr="00ED3250">
              <w:rPr>
                <w:rFonts w:ascii="Times New Roman" w:eastAsia="Times New Roman" w:hAnsi="Times New Roman" w:cs="Times New Roman"/>
                <w:b/>
                <w:bCs/>
                <w:color w:val="000000"/>
                <w:sz w:val="20"/>
                <w:szCs w:val="20"/>
                <w:lang w:eastAsia="id-ID"/>
              </w:rPr>
              <w:br/>
            </w:r>
            <w:r w:rsidRPr="00ED3250">
              <w:rPr>
                <w:rFonts w:ascii="Times New Roman" w:eastAsia="Times New Roman" w:hAnsi="Times New Roman" w:cs="Times New Roman"/>
                <w:b/>
                <w:bCs/>
                <w:color w:val="000000"/>
                <w:sz w:val="20"/>
                <w:szCs w:val="20"/>
                <w:lang w:eastAsia="id-ID"/>
              </w:rPr>
              <w:br/>
              <w:t xml:space="preserve"> </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Kementerian &amp; Dinas Kehutanan</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765"/>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FVh1</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r w:rsidRPr="00ED3250">
              <w:rPr>
                <w:rFonts w:ascii="Times New Roman" w:eastAsia="Times New Roman" w:hAnsi="Times New Roman" w:cs="Times New Roman"/>
                <w:sz w:val="20"/>
                <w:szCs w:val="20"/>
                <w:lang w:eastAsia="id-ID"/>
              </w:rPr>
              <w:t xml:space="preserve">Jumlah pengaduan masyarakat tentang kinerja pengelolaan hutan </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sz w:val="20"/>
                <w:szCs w:val="20"/>
                <w:lang w:eastAsia="id-ID"/>
              </w:rPr>
            </w:pPr>
          </w:p>
        </w:tc>
        <w:tc>
          <w:tcPr>
            <w:tcW w:w="1447"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255"/>
        </w:trPr>
        <w:tc>
          <w:tcPr>
            <w:tcW w:w="4042" w:type="dxa"/>
            <w:gridSpan w:val="3"/>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Isu dalam PGA REDD+</w:t>
            </w:r>
          </w:p>
        </w:tc>
        <w:tc>
          <w:tcPr>
            <w:tcW w:w="5461" w:type="dxa"/>
            <w:gridSpan w:val="4"/>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informasi</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FVIa1</w:t>
            </w:r>
          </w:p>
        </w:tc>
        <w:tc>
          <w:tcPr>
            <w:tcW w:w="1447" w:type="dxa"/>
            <w:vMerge w:val="restart"/>
            <w:tcBorders>
              <w:top w:val="nil"/>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belum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93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Satgas REDD+</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belum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881"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b. Tingkat penerimaan Strategi REDD+ oleh para aktor</w:t>
            </w:r>
            <w:r w:rsidRPr="00ED3250">
              <w:rPr>
                <w:rFonts w:ascii="Times New Roman" w:eastAsia="Times New Roman" w:hAnsi="Times New Roman" w:cs="Times New Roman"/>
                <w:b/>
                <w:bCs/>
                <w:color w:val="000000"/>
                <w:sz w:val="20"/>
                <w:szCs w:val="20"/>
                <w:lang w:eastAsia="id-ID"/>
              </w:rPr>
              <w:br/>
            </w:r>
          </w:p>
        </w:tc>
      </w:tr>
      <w:tr w:rsidR="00ED3250" w:rsidRPr="00ED3250" w:rsidTr="00ED3250">
        <w:trPr>
          <w:trHeight w:val="66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informasi</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153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lastRenderedPageBreak/>
              <w:t>FVIb1</w:t>
            </w:r>
          </w:p>
        </w:tc>
        <w:tc>
          <w:tcPr>
            <w:tcW w:w="1447" w:type="dxa"/>
            <w:vMerge w:val="restart"/>
            <w:tcBorders>
              <w:top w:val="nil"/>
              <w:left w:val="single" w:sz="4" w:space="0" w:color="auto"/>
              <w:bottom w:val="single" w:sz="4" w:space="0" w:color="000000"/>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Bagaimana penerimaan Strate-gi REDD+ oleh para aktor?</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Strategi REDD+ kurang diterima oleh para aktor karena konsep belum jelas, sehingga tidak paham strateginya. Pernah ada investor dari asutralia dan masyarakat bertanya-tanya apa manfaatnya untuk mereka</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2</w:t>
            </w:r>
          </w:p>
        </w:tc>
      </w:tr>
      <w:tr w:rsidR="00ED3250" w:rsidRPr="00ED3250" w:rsidTr="00ED3250">
        <w:trPr>
          <w:trHeight w:val="204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Bappeda</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Strategi REDD+  kurang diterima karena banyak yang tidak tahu apa itu REDD+. Dalam konteks birokrasi, hanya 6 elemen saja yang tahu, yaitu dDinasa Kehutanan, Dinan Pertanian, Dinbas Perhubungan, Bapeldada, Dinas Perindustrian, Pertambangan dan Energi</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2</w:t>
            </w:r>
          </w:p>
        </w:tc>
      </w:tr>
      <w:tr w:rsidR="00ED3250" w:rsidRPr="00ED3250" w:rsidTr="00ED3250">
        <w:trPr>
          <w:trHeight w:val="178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LSM</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Penerimaan Strategi REDD+ oleh para aktor kurang diterima karena informasi soal REDD+ belum diketahui secara luas, hanya sebagian yang paham. Bahkan NGO pun hanya beberapa saja yang paham REDD+</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2</w:t>
            </w:r>
          </w:p>
        </w:tc>
      </w:tr>
      <w:tr w:rsidR="00ED3250" w:rsidRPr="00ED3250" w:rsidTr="00ED3250">
        <w:trPr>
          <w:trHeight w:val="76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Organisasi Masyarakat Adat Lokal</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Belum paham Strategi REDD+ sehingga tidak tahu tingkat penerimaan strategi REDD+</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FVIb2</w:t>
            </w:r>
          </w:p>
        </w:tc>
        <w:tc>
          <w:tcPr>
            <w:tcW w:w="1447" w:type="dxa"/>
            <w:vMerge w:val="restart"/>
            <w:tcBorders>
              <w:top w:val="nil"/>
              <w:left w:val="single" w:sz="4" w:space="0" w:color="auto"/>
              <w:bottom w:val="single" w:sz="4" w:space="0" w:color="000000"/>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Apakah Kelembagaan REDD+ sudah memadai?</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Kelembagaan REDD+ sudah ada, tapi pelaksanaannya masih tersendat. Di Papua Barat Satgasnya bernama Satgas </w:t>
            </w:r>
            <w:r w:rsidRPr="00ED3250">
              <w:rPr>
                <w:rFonts w:ascii="Times New Roman" w:eastAsia="Times New Roman" w:hAnsi="Times New Roman" w:cs="Times New Roman"/>
                <w:color w:val="000000"/>
                <w:sz w:val="20"/>
                <w:szCs w:val="20"/>
                <w:lang w:eastAsia="id-ID"/>
              </w:rPr>
              <w:lastRenderedPageBreak/>
              <w:t>Pembangunan Ekonomi Rendah Karbon di bawah BAPENAS, REDD+ jadi bagian di bawahnya</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lastRenderedPageBreak/>
              <w:t>1</w:t>
            </w:r>
          </w:p>
        </w:tc>
      </w:tr>
      <w:tr w:rsidR="00ED3250" w:rsidRPr="00ED3250" w:rsidTr="00ED3250">
        <w:trPr>
          <w:trHeight w:val="153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Bappeda</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Kelembagaan REDD+  sudah memadai. Dalam Task_Force semua elemen sudah terwakili. Ada kendala dana untuk menyusun SRAP &amp; RAN-GRK , padahal akhir tahun sudah harus selesai</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4</w:t>
            </w:r>
          </w:p>
        </w:tc>
      </w:tr>
      <w:tr w:rsidR="00ED3250" w:rsidRPr="00ED3250" w:rsidTr="00ED3250">
        <w:trPr>
          <w:trHeight w:val="255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LSM</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Kelembagaan REDD+ cukup memadai secara normatif, karena : Sudah ada tim penyusun RAN-GRLK dan tim penyusun SRAPREDD+, SK dikeluarkan dan ditandatangani oleh gubernur, tapi tidak ada pendanaan yang mendukung termasuk APBD, serta dana diusulkan ke UNDP tapi belum direspon</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3</w:t>
            </w:r>
          </w:p>
        </w:tc>
      </w:tr>
      <w:tr w:rsidR="00ED3250" w:rsidRPr="00ED3250" w:rsidTr="00ED3250">
        <w:trPr>
          <w:trHeight w:val="76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Organisasi Masyarakat Adat Lokal</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Belum pernah dilibatkan dalam kegiatan Satgas REDD+ sehingga belum tahu kelembagaannya</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280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FVIb3</w:t>
            </w:r>
          </w:p>
        </w:tc>
        <w:tc>
          <w:tcPr>
            <w:tcW w:w="1447" w:type="dxa"/>
            <w:vMerge w:val="restart"/>
            <w:tcBorders>
              <w:top w:val="nil"/>
              <w:left w:val="single" w:sz="4" w:space="0" w:color="auto"/>
              <w:bottom w:val="single" w:sz="4" w:space="0" w:color="000000"/>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Apakah Kerangka Pengaman sudah memadai?</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Kerangka Pengaman REDD+ tidak memadai. Dari kebijakan Gubernur, 30% harus diperuntukkan untuk REDD+. Gubernur Papua Barat ingin menjadikan Papua Barat menjadi Propinsi Konservasi, artinya hutan bisa dimanfaatkan tapi sustainabilitynya harus terjamin. Namun belum ada antisipasi kebocoran dari implementasi kebijakan ini.</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76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Bappeda</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Kerangka pengaman belum tersusun karena SRAP &amp; RAN-GRK belum tersusun</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1275"/>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LSM</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Kerangka pengaman tidak memadai karena sudah pernah dibahas dalam tim tapi belum dirumuskan dan belum ada parameter yang bisa dipakai/ditetapkan</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102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Organisasi Masyarakat Adat Lokal</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Belum pernah dilibatkan dalam kegiatan Satgas REDD+ sehingga belum tahu kerangka pengaman yang sudah dibuat</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25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FVIb4</w:t>
            </w:r>
          </w:p>
        </w:tc>
        <w:tc>
          <w:tcPr>
            <w:tcW w:w="1447" w:type="dxa"/>
            <w:vMerge w:val="restart"/>
            <w:tcBorders>
              <w:top w:val="nil"/>
              <w:left w:val="single" w:sz="4" w:space="0" w:color="auto"/>
              <w:bottom w:val="single" w:sz="4" w:space="0" w:color="000000"/>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881" w:type="dxa"/>
            <w:vMerge w:val="restart"/>
            <w:tcBorders>
              <w:top w:val="nil"/>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Apakah (mekanisme) MRV sudah memadai?</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MRV sudah dibuat tapi belum jalan</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2</w:t>
            </w:r>
          </w:p>
        </w:tc>
      </w:tr>
      <w:tr w:rsidR="00ED3250" w:rsidRPr="00ED3250" w:rsidTr="00ED3250">
        <w:trPr>
          <w:trHeight w:val="51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Bappeda</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Mekanisme MRV belum memadai karena belum dibentuk</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102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LSM</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Mekanisme MRV tidak memadai karena dalam dokumen rencana belum ada rumusan MRV di tingkat propinsi</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1020"/>
        </w:trPr>
        <w:tc>
          <w:tcPr>
            <w:tcW w:w="714"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447" w:type="dxa"/>
            <w:vMerge/>
            <w:tcBorders>
              <w:top w:val="nil"/>
              <w:left w:val="single" w:sz="4" w:space="0" w:color="auto"/>
              <w:bottom w:val="single" w:sz="4" w:space="0" w:color="000000"/>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881" w:type="dxa"/>
            <w:vMerge/>
            <w:tcBorders>
              <w:top w:val="nil"/>
              <w:left w:val="single" w:sz="4" w:space="0" w:color="auto"/>
              <w:bottom w:val="single" w:sz="4" w:space="0" w:color="auto"/>
              <w:right w:val="single" w:sz="4" w:space="0" w:color="auto"/>
            </w:tcBorders>
            <w:vAlign w:val="center"/>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Organisasi Masyarakat Adat Lokal</w:t>
            </w:r>
          </w:p>
        </w:tc>
        <w:tc>
          <w:tcPr>
            <w:tcW w:w="1556"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231"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Belum pernah dilibatkan dalam kegiatan Satgas REDD+ sehingga belum tahu mekanisme MRV nya sudah memadai atau belum</w:t>
            </w:r>
          </w:p>
        </w:tc>
        <w:tc>
          <w:tcPr>
            <w:tcW w:w="1382" w:type="dxa"/>
            <w:tcBorders>
              <w:top w:val="nil"/>
              <w:left w:val="nil"/>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c. Tingkat deforestasi di lokasi assesmen</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informasi</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Kementerian &amp; Dinas Kehutanan</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FVIc1</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Tingkat deforestasi di lokasi assesmen </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memiliki dokumen tentang deforestasi</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d. Tingkat degradasi hutan di lokasi assesmen</w:t>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informasi</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Kementerian &amp; Dinas Kehutanan</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FVId1</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Tingkat degradasi hutan di lokasi assesmen </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tidak memiliki dokumen tentang deforestasi</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r w:rsidR="00ED3250" w:rsidRPr="00ED3250" w:rsidTr="00ED3250">
        <w:trPr>
          <w:trHeight w:val="255"/>
        </w:trPr>
        <w:tc>
          <w:tcPr>
            <w:tcW w:w="714"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447"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070"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556"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231"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c>
          <w:tcPr>
            <w:tcW w:w="1604"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p>
        </w:tc>
      </w:tr>
      <w:tr w:rsidR="00ED3250" w:rsidRPr="00ED3250" w:rsidTr="00ED3250">
        <w:trPr>
          <w:trHeight w:val="6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Indikator</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p>
        </w:tc>
        <w:tc>
          <w:tcPr>
            <w:tcW w:w="6843" w:type="dxa"/>
            <w:gridSpan w:val="5"/>
            <w:tcBorders>
              <w:top w:val="nil"/>
              <w:left w:val="nil"/>
              <w:bottom w:val="nil"/>
              <w:right w:val="nil"/>
            </w:tcBorders>
            <w:shd w:val="clear" w:color="auto" w:fill="auto"/>
            <w:hideMark/>
          </w:tcPr>
          <w:p w:rsidR="00ED3250" w:rsidRPr="00ED3250" w:rsidRDefault="00ED3250" w:rsidP="00ED3250">
            <w:pPr>
              <w:spacing w:after="24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ED3250">
              <w:rPr>
                <w:rFonts w:ascii="Times New Roman" w:eastAsia="Times New Roman" w:hAnsi="Times New Roman" w:cs="Times New Roman"/>
                <w:b/>
                <w:bCs/>
                <w:color w:val="000000"/>
                <w:sz w:val="20"/>
                <w:szCs w:val="20"/>
                <w:lang w:eastAsia="id-ID"/>
              </w:rPr>
              <w:br/>
              <w:t xml:space="preserve">  REDD+ (demonstration ativities)</w:t>
            </w:r>
            <w:r w:rsidRPr="00ED3250">
              <w:rPr>
                <w:rFonts w:ascii="Times New Roman" w:eastAsia="Times New Roman" w:hAnsi="Times New Roman" w:cs="Times New Roman"/>
                <w:b/>
                <w:bCs/>
                <w:color w:val="000000"/>
                <w:sz w:val="20"/>
                <w:szCs w:val="20"/>
                <w:lang w:eastAsia="id-ID"/>
              </w:rPr>
              <w:br/>
            </w:r>
          </w:p>
        </w:tc>
      </w:tr>
      <w:tr w:rsidR="00ED3250" w:rsidRPr="00ED3250" w:rsidTr="00ED3250">
        <w:trPr>
          <w:trHeight w:val="300"/>
        </w:trPr>
        <w:tc>
          <w:tcPr>
            <w:tcW w:w="2161" w:type="dxa"/>
            <w:gridSpan w:val="2"/>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informasi</w:t>
            </w:r>
          </w:p>
        </w:tc>
        <w:tc>
          <w:tcPr>
            <w:tcW w:w="1881" w:type="dxa"/>
            <w:tcBorders>
              <w:top w:val="nil"/>
              <w:left w:val="nil"/>
              <w:bottom w:val="nil"/>
              <w:right w:val="nil"/>
            </w:tcBorders>
            <w:shd w:val="clear" w:color="auto" w:fill="auto"/>
            <w:noWrap/>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p>
        </w:tc>
        <w:tc>
          <w:tcPr>
            <w:tcW w:w="6843" w:type="dxa"/>
            <w:gridSpan w:val="5"/>
            <w:tcBorders>
              <w:top w:val="nil"/>
              <w:left w:val="nil"/>
              <w:bottom w:val="single" w:sz="4" w:space="0" w:color="auto"/>
              <w:right w:val="nil"/>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 Kementerian &amp; Dinas Kehutanan</w:t>
            </w:r>
          </w:p>
        </w:tc>
      </w:tr>
      <w:tr w:rsidR="00ED3250" w:rsidRPr="00ED3250" w:rsidTr="00ED325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Kode</w:t>
            </w:r>
          </w:p>
        </w:tc>
        <w:tc>
          <w:tcPr>
            <w:tcW w:w="1447"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Panduan Analisis Dokumen</w:t>
            </w:r>
          </w:p>
        </w:tc>
        <w:tc>
          <w:tcPr>
            <w:tcW w:w="1881" w:type="dxa"/>
            <w:tcBorders>
              <w:top w:val="single" w:sz="4" w:space="0" w:color="auto"/>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Pertanyaan Wawancara</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Sumber Data</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Dokumen</w:t>
            </w:r>
          </w:p>
        </w:tc>
        <w:tc>
          <w:tcPr>
            <w:tcW w:w="1604"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b/>
                <w:bCs/>
                <w:color w:val="000000"/>
                <w:sz w:val="20"/>
                <w:szCs w:val="20"/>
                <w:lang w:eastAsia="id-ID"/>
              </w:rPr>
            </w:pPr>
            <w:r w:rsidRPr="00ED3250">
              <w:rPr>
                <w:rFonts w:ascii="Times New Roman" w:eastAsia="Times New Roman" w:hAnsi="Times New Roman" w:cs="Times New Roman"/>
                <w:b/>
                <w:bCs/>
                <w:color w:val="000000"/>
                <w:sz w:val="20"/>
                <w:szCs w:val="20"/>
                <w:lang w:eastAsia="id-ID"/>
              </w:rPr>
              <w:t>Kategori Data Wawancara</w:t>
            </w:r>
          </w:p>
        </w:tc>
      </w:tr>
      <w:tr w:rsidR="00ED3250" w:rsidRPr="00ED3250" w:rsidTr="00ED3250">
        <w:trPr>
          <w:trHeight w:val="1530"/>
        </w:trPr>
        <w:tc>
          <w:tcPr>
            <w:tcW w:w="714" w:type="dxa"/>
            <w:tcBorders>
              <w:top w:val="nil"/>
              <w:left w:val="single" w:sz="4" w:space="0" w:color="auto"/>
              <w:bottom w:val="single" w:sz="4" w:space="0" w:color="auto"/>
              <w:right w:val="single" w:sz="4" w:space="0" w:color="auto"/>
            </w:tcBorders>
            <w:shd w:val="clear" w:color="auto" w:fill="auto"/>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FVIe1</w:t>
            </w:r>
          </w:p>
        </w:tc>
        <w:tc>
          <w:tcPr>
            <w:tcW w:w="1447"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88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070"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Kehutanan</w:t>
            </w:r>
          </w:p>
        </w:tc>
        <w:tc>
          <w:tcPr>
            <w:tcW w:w="1556"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belum ada dokumen</w:t>
            </w:r>
          </w:p>
        </w:tc>
        <w:tc>
          <w:tcPr>
            <w:tcW w:w="1231" w:type="dxa"/>
            <w:tcBorders>
              <w:top w:val="nil"/>
              <w:left w:val="nil"/>
              <w:bottom w:val="single" w:sz="4" w:space="0" w:color="auto"/>
              <w:right w:val="single" w:sz="4" w:space="0" w:color="auto"/>
            </w:tcBorders>
            <w:shd w:val="clear" w:color="auto" w:fill="auto"/>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1</w:t>
            </w:r>
          </w:p>
        </w:tc>
        <w:tc>
          <w:tcPr>
            <w:tcW w:w="1604" w:type="dxa"/>
            <w:tcBorders>
              <w:top w:val="nil"/>
              <w:left w:val="nil"/>
              <w:bottom w:val="single" w:sz="4" w:space="0" w:color="auto"/>
              <w:right w:val="single" w:sz="4" w:space="0" w:color="auto"/>
            </w:tcBorders>
            <w:shd w:val="clear" w:color="000000" w:fill="000000"/>
            <w:hideMark/>
          </w:tcPr>
          <w:p w:rsidR="00ED3250" w:rsidRPr="00ED3250" w:rsidRDefault="00ED3250" w:rsidP="00ED3250">
            <w:pPr>
              <w:spacing w:after="0" w:line="240" w:lineRule="auto"/>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ED3250" w:rsidRPr="00ED3250" w:rsidRDefault="00ED3250" w:rsidP="00ED3250">
            <w:pPr>
              <w:spacing w:after="0" w:line="240" w:lineRule="auto"/>
              <w:jc w:val="center"/>
              <w:rPr>
                <w:rFonts w:ascii="Times New Roman" w:eastAsia="Times New Roman" w:hAnsi="Times New Roman" w:cs="Times New Roman"/>
                <w:color w:val="000000"/>
                <w:sz w:val="20"/>
                <w:szCs w:val="20"/>
                <w:lang w:eastAsia="id-ID"/>
              </w:rPr>
            </w:pPr>
            <w:r w:rsidRPr="00ED3250">
              <w:rPr>
                <w:rFonts w:ascii="Times New Roman" w:eastAsia="Times New Roman" w:hAnsi="Times New Roman" w:cs="Times New Roman"/>
                <w:color w:val="000000"/>
                <w:sz w:val="20"/>
                <w:szCs w:val="20"/>
                <w:lang w:eastAsia="id-ID"/>
              </w:rPr>
              <w:t> </w:t>
            </w:r>
          </w:p>
        </w:tc>
      </w:tr>
    </w:tbl>
    <w:p w:rsidR="00ED3250" w:rsidRDefault="00ED3250"/>
    <w:sectPr w:rsidR="00ED3250"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37256F"/>
    <w:rsid w:val="004165D1"/>
    <w:rsid w:val="004570C7"/>
    <w:rsid w:val="005D2D3D"/>
    <w:rsid w:val="006E5970"/>
    <w:rsid w:val="009F3E98"/>
    <w:rsid w:val="00A91768"/>
    <w:rsid w:val="00BB5203"/>
    <w:rsid w:val="00C622FE"/>
    <w:rsid w:val="00D74DB4"/>
    <w:rsid w:val="00D9058A"/>
    <w:rsid w:val="00ED3250"/>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ED3250"/>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font8">
    <w:name w:val="font8"/>
    <w:basedOn w:val="Normal"/>
    <w:rsid w:val="00ED3250"/>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055591881">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 w:id="194750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22</Pages>
  <Words>4747</Words>
  <Characters>27060</Characters>
  <Application>Microsoft Office Word</Application>
  <DocSecurity>0</DocSecurity>
  <Lines>225</Lines>
  <Paragraphs>63</Paragraphs>
  <ScaleCrop>false</ScaleCrop>
  <Company/>
  <LinksUpToDate>false</LinksUpToDate>
  <CharactersWithSpaces>31744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2012-10-16T10:01:00Z</dcterms:modified>
</cp:coreProperties>
</file>